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645"/>
        <w:textAlignment w:val="baseline"/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EFEF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645"/>
        <w:textAlignment w:val="baseline"/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EFEFE"/>
          <w:vertAlign w:val="baseli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645"/>
        <w:textAlignment w:val="baseline"/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EFEFE"/>
          <w:vertAlign w:val="baseline"/>
        </w:rPr>
      </w:pPr>
      <w:r>
        <w:rPr>
          <w:rFonts w:ascii="仿宋" w:hAnsi="仿宋" w:eastAsia="仿宋" w:cs="仿宋"/>
          <w:b/>
          <w:bCs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EFEFE"/>
          <w:vertAlign w:val="baseline"/>
        </w:rPr>
        <w:t>各位考生：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645"/>
        <w:textAlignment w:val="baseline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目前正值疫情防控关键时期，请各位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考生在粤省事健康申报功能中如实登记个人近期旅居史、接触史、身体健康状况、来粤方式等情况。持粤康码等电子健康码绿码的考生，方可参加面试。所有人员在进入学校时，均应主动出示粤康码等电子健康码绿码，接受体温检测，并全程佩戴一次性医用口罩。如粤康码等电子健康码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红码、黄码或体温≥37.3℃，不得进入校园。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645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                                 广东交通职业技术学院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spacing w:before="0" w:beforeAutospacing="0" w:after="0" w:afterAutospacing="0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                                2020年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EFEFE"/>
          <w:vertAlign w:val="baseli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25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2020-09-08T02:40:06Z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